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DB9C2">
      <w:pPr>
        <w:spacing w:before="0" w:line="436" w:lineRule="exact"/>
        <w:ind w:left="3796" w:right="0" w:firstLine="0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pacing w:val="-28"/>
          <w:sz w:val="36"/>
          <w:szCs w:val="36"/>
          <w:lang w:val="en-US" w:eastAsia="zh-CN"/>
        </w:rPr>
        <w:t>用户</w:t>
      </w:r>
      <w:r>
        <w:rPr>
          <w:rFonts w:ascii="宋体" w:hAnsi="宋体" w:eastAsia="宋体" w:cs="宋体"/>
          <w:b/>
          <w:bCs/>
          <w:sz w:val="36"/>
          <w:szCs w:val="36"/>
        </w:rPr>
        <w:t>需求书</w:t>
      </w:r>
    </w:p>
    <w:p w14:paraId="6BC91D71">
      <w:pPr>
        <w:spacing w:before="9" w:line="240" w:lineRule="auto"/>
        <w:rPr>
          <w:rFonts w:ascii="宋体" w:hAnsi="宋体" w:eastAsia="宋体" w:cs="宋体"/>
          <w:b/>
          <w:bCs/>
          <w:sz w:val="15"/>
          <w:szCs w:val="15"/>
        </w:rPr>
      </w:pPr>
    </w:p>
    <w:p w14:paraId="2ADCD71A">
      <w:pPr>
        <w:pStyle w:val="2"/>
        <w:numPr>
          <w:ilvl w:val="0"/>
          <w:numId w:val="0"/>
        </w:numPr>
        <w:spacing w:before="14" w:line="240" w:lineRule="auto"/>
        <w:ind w:right="0" w:rightChars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kern w:val="2"/>
          <w:sz w:val="30"/>
          <w:szCs w:val="30"/>
        </w:rPr>
        <w:t>包一</w:t>
      </w:r>
      <w:r>
        <w:rPr>
          <w:rFonts w:hint="eastAsia" w:ascii="仿宋" w:hAnsi="仿宋" w:eastAsia="仿宋" w:cs="仿宋"/>
          <w:kern w:val="2"/>
          <w:sz w:val="30"/>
          <w:szCs w:val="30"/>
        </w:rPr>
        <w:t>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病案室、档案室搬迁</w:t>
      </w:r>
    </w:p>
    <w:p w14:paraId="5658088F">
      <w:pPr>
        <w:pStyle w:val="2"/>
        <w:numPr>
          <w:ilvl w:val="0"/>
          <w:numId w:val="0"/>
        </w:numPr>
        <w:spacing w:before="14" w:line="240" w:lineRule="auto"/>
        <w:ind w:right="0" w:right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cs="仿宋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drawing>
          <wp:inline distT="0" distB="0" distL="114300" distR="114300">
            <wp:extent cx="5509895" cy="2155825"/>
            <wp:effectExtent l="0" t="0" r="6985" b="8255"/>
            <wp:docPr id="1" name="图片 1" descr="175604089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60408933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69E6">
      <w:pPr>
        <w:pStyle w:val="2"/>
        <w:numPr>
          <w:ilvl w:val="0"/>
          <w:numId w:val="0"/>
        </w:numPr>
        <w:spacing w:before="14" w:line="240" w:lineRule="auto"/>
        <w:ind w:right="0" w:rightChars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cs="仿宋"/>
          <w:kern w:val="2"/>
          <w:sz w:val="28"/>
          <w:szCs w:val="28"/>
          <w:lang w:val="en-US" w:eastAsia="zh-CN"/>
        </w:rPr>
        <w:t xml:space="preserve">     </w:t>
      </w:r>
    </w:p>
    <w:p w14:paraId="786302B3">
      <w:pPr>
        <w:spacing w:before="2"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本项目预算总金额3万元，供应商应对此次搬迁服务做到一下几点：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1.保证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搬迁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工程的质量合格和按期完工; 2.承担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搬迁工作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和道路运输等的安全，包括各方现场施工人员人身、财产安全;3.保证文明、按规定施工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1AD95F75">
      <w:pPr>
        <w:spacing w:before="2"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 w14:paraId="43E80196">
      <w:pPr>
        <w:spacing w:before="2" w:line="240" w:lineRule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包二：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计算机房搬迁</w:t>
      </w:r>
    </w:p>
    <w:p w14:paraId="433A10FC">
      <w:pPr>
        <w:spacing w:before="2" w:line="240" w:lineRule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</w:pPr>
    </w:p>
    <w:p w14:paraId="3B7CEE89">
      <w:pPr>
        <w:ind w:firstLine="42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预算总金额4.9万元，</w:t>
      </w:r>
      <w:r>
        <w:rPr>
          <w:rFonts w:hint="eastAsia" w:ascii="仿宋" w:hAnsi="仿宋" w:eastAsia="仿宋" w:cs="仿宋"/>
          <w:sz w:val="28"/>
          <w:szCs w:val="28"/>
        </w:rPr>
        <w:t>涉及旧机房7个服务器机柜搬迁至新机房，同步完成旧机房线路整理、新机房10个机柜综合布线、PDU安装及封窗施工。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搬迁服务应</w:t>
      </w:r>
      <w:r>
        <w:rPr>
          <w:rFonts w:hint="eastAsia" w:ascii="仿宋" w:hAnsi="仿宋" w:eastAsia="仿宋" w:cs="仿宋"/>
          <w:sz w:val="28"/>
          <w:szCs w:val="28"/>
        </w:rPr>
        <w:t>严格遵循《电子信息系统机房设计规范》（GB50174）、《综合布线系统工程设计规范》（GB50311）及《建筑电气工程施工质量验收规范》（GB50303）等国家标准，确保安全性与专业性。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具体内容如下：</w:t>
      </w:r>
    </w:p>
    <w:p w14:paraId="670453E7">
      <w:pPr>
        <w:ind w:firstLine="42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496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57"/>
        <w:gridCol w:w="3427"/>
        <w:gridCol w:w="1222"/>
        <w:gridCol w:w="1206"/>
      </w:tblGrid>
      <w:tr w14:paraId="57A73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8C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b/>
                <w:bCs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404040"/>
                <w:kern w:val="0"/>
                <w:szCs w:val="21"/>
              </w:rPr>
              <w:t>序号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7C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b/>
                <w:bCs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404040"/>
                <w:kern w:val="0"/>
                <w:szCs w:val="21"/>
              </w:rPr>
              <w:t>名称</w:t>
            </w:r>
          </w:p>
        </w:tc>
        <w:tc>
          <w:tcPr>
            <w:tcW w:w="19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15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b/>
                <w:bCs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kern w:val="0"/>
                <w:szCs w:val="21"/>
              </w:rPr>
              <w:t>规格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99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b/>
                <w:bCs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b/>
                <w:bCs/>
                <w:color w:val="404040"/>
                <w:kern w:val="0"/>
                <w:szCs w:val="21"/>
              </w:rPr>
              <w:t>数量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F3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kern w:val="0"/>
                <w:szCs w:val="21"/>
              </w:rPr>
              <w:t>单位</w:t>
            </w:r>
          </w:p>
        </w:tc>
      </w:tr>
      <w:tr w14:paraId="2BFE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C234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D09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服务器机柜搬迁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30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42U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机柜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7台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（运输、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安装、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资产标签化）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37C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15F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项</w:t>
            </w:r>
          </w:p>
        </w:tc>
      </w:tr>
      <w:tr w14:paraId="680D6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9313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CA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旧机房线路整理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46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废弃线缆回收、冗余线路整理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B5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AF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项</w:t>
            </w:r>
          </w:p>
        </w:tc>
      </w:tr>
      <w:tr w14:paraId="2CA7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6CAA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5D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Cat6A网线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F5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非屏蔽双绞线（TIA-568.2-D，含固线夹敷设）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80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约</w:t>
            </w: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1,000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75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米</w:t>
            </w:r>
          </w:p>
        </w:tc>
      </w:tr>
      <w:tr w14:paraId="29FD9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466E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02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OM4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光纤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84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50/125μm，LC-LC接口（橙色PVC专用线槽敷设）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5C1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约</w:t>
            </w: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300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66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米</w:t>
            </w:r>
          </w:p>
        </w:tc>
      </w:tr>
      <w:tr w14:paraId="5B89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B1F5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0EC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理线架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71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1U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金属理线器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0E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4D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套</w:t>
            </w:r>
          </w:p>
        </w:tc>
      </w:tr>
      <w:tr w14:paraId="3CC49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7C3E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BE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PDU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DB9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32A/10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位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5E6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10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46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台</w:t>
            </w:r>
          </w:p>
        </w:tc>
      </w:tr>
      <w:tr w14:paraId="75CE6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133A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B8A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防火硅酸钙板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4B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12mm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厚，</w:t>
            </w: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A1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级不燃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E1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约</w:t>
            </w: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4A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㎡</w:t>
            </w:r>
          </w:p>
        </w:tc>
      </w:tr>
      <w:tr w14:paraId="54EF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F0AF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3B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A</w:t>
            </w: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  <w:t>级防火岩棉彩钢板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47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密度120kg/m³（填充密实度≥95%）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45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约</w:t>
            </w: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91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㎡</w:t>
            </w:r>
          </w:p>
        </w:tc>
      </w:tr>
      <w:tr w14:paraId="2B73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A198">
            <w:pPr>
              <w:pStyle w:val="7"/>
              <w:widowControl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</w:p>
        </w:tc>
        <w:tc>
          <w:tcPr>
            <w:tcW w:w="11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E1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防火密封胶</w:t>
            </w:r>
          </w:p>
        </w:tc>
        <w:tc>
          <w:tcPr>
            <w:tcW w:w="19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E3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硅酮防火胶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5C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Segoe UI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Segoe UI"/>
                <w:color w:val="404040"/>
                <w:kern w:val="0"/>
                <w:szCs w:val="21"/>
                <w:lang w:val="en-US" w:eastAsia="zh-CN"/>
              </w:rPr>
              <w:t>约</w:t>
            </w:r>
            <w:r>
              <w:rPr>
                <w:rFonts w:ascii="宋体" w:hAnsi="宋体" w:eastAsia="宋体" w:cs="Segoe UI"/>
                <w:color w:val="404040"/>
                <w:kern w:val="0"/>
                <w:szCs w:val="21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5C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Cs w:val="21"/>
              </w:rPr>
              <w:t>支</w:t>
            </w:r>
          </w:p>
        </w:tc>
      </w:tr>
    </w:tbl>
    <w:p w14:paraId="2B2CCD26">
      <w:pPr>
        <w:spacing w:before="6" w:line="24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0DC0DC6">
      <w:pPr>
        <w:spacing w:before="6" w:line="240" w:lineRule="auto"/>
        <w:rPr>
          <w:rFonts w:hint="default" w:ascii="仿宋" w:hAnsi="仿宋" w:eastAsia="仿宋" w:cs="仿宋"/>
          <w:kern w:val="2"/>
          <w:sz w:val="28"/>
          <w:szCs w:val="28"/>
          <w:highlight w:val="yellow"/>
          <w:lang w:val="en-US" w:eastAsia="zh-CN"/>
        </w:rPr>
      </w:pPr>
      <w:r>
        <w:rPr>
          <w:rFonts w:ascii="仿宋" w:hAnsi="仿宋" w:eastAsia="仿宋" w:cs="仿宋"/>
          <w:b/>
          <w:bCs/>
          <w:kern w:val="2"/>
          <w:sz w:val="30"/>
          <w:szCs w:val="30"/>
        </w:rPr>
        <w:t>包三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监控室搬迁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本项目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预算总金额3.5万元，具体搬迁内容如下：</w:t>
      </w:r>
    </w:p>
    <w:p w14:paraId="16363B25">
      <w:pPr>
        <w:spacing w:before="6" w:line="240" w:lineRule="auto"/>
        <w:rPr>
          <w:rFonts w:hint="eastAsia" w:ascii="仿宋" w:hAnsi="仿宋" w:eastAsia="仿宋" w:cs="仿宋"/>
          <w:kern w:val="2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4819650" cy="4819650"/>
            <wp:effectExtent l="0" t="0" r="0" b="0"/>
            <wp:docPr id="2" name="图片 2" descr="d26a06de76b8b6e7522b466c837f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6a06de76b8b6e7522b466c837f3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874D4A">
      <w:pPr>
        <w:spacing w:before="6" w:line="240" w:lineRule="auto"/>
        <w:rPr>
          <w:rFonts w:hint="eastAsia" w:ascii="仿宋" w:hAnsi="仿宋" w:eastAsia="仿宋" w:cs="仿宋"/>
          <w:kern w:val="2"/>
          <w:sz w:val="28"/>
          <w:szCs w:val="28"/>
          <w:highlight w:val="yellow"/>
          <w:lang w:val="en-US" w:eastAsia="zh-CN"/>
        </w:rPr>
      </w:pPr>
    </w:p>
    <w:p w14:paraId="76F28AE4">
      <w:pPr>
        <w:spacing w:before="6" w:line="240" w:lineRule="auto"/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/>
        </w:rPr>
      </w:pPr>
      <w:r>
        <w:rPr>
          <w:rFonts w:ascii="仿宋" w:hAnsi="仿宋" w:eastAsia="仿宋" w:cs="仿宋"/>
          <w:b/>
          <w:bCs/>
          <w:kern w:val="2"/>
          <w:sz w:val="30"/>
          <w:szCs w:val="30"/>
        </w:rPr>
        <w:t>包四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：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除甲醛，预算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highlight w:val="none"/>
          <w:lang w:val="en-US" w:eastAsia="zh-CN"/>
        </w:rPr>
        <w:t>6.65万，即3.5元/m²。</w:t>
      </w:r>
    </w:p>
    <w:p w14:paraId="353F6786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1、项目规模：治理面积共约19000平方米（此面积为预估总面积，单项治理面积及最终总面积以实际为准）</w:t>
      </w:r>
    </w:p>
    <w:p w14:paraId="4941B12F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2、治理范围：包括但不限于精装修区域内的墙面、顶面、地面、家具、硬包、艺术造型等进行有害气体的治理，确保室内空气质量达标，项目结束后现场恢复如初。</w:t>
      </w:r>
    </w:p>
    <w:p w14:paraId="75BD8728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3、服务期限：自合同签订之日至甲方验收合格之日，约20天。</w:t>
      </w:r>
    </w:p>
    <w:p w14:paraId="37C48FCB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4、服务要求：</w:t>
      </w:r>
    </w:p>
    <w:p w14:paraId="022C069C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4.1空气净化处理：乙方在空气治理过程中，需采用相关专用专业治理药剂（如：生物酶催化剂 ，TVOC渗透剂 ，甲醛清除剂 ，材质保护剂 ，负氧离子空气改良剂等），以及相关专用专业设备（如：空气改良剂专用喷枪、负氧离子发生器、密闭空间排风机等）进行空气治理，确保治理效果和治理时间符合甲方的相关要求。乙方在空气治理过程中，所采用的全部治理药剂均需确保安全、无毒、无二次污染，长期有效且治理效果明显，不反弹，大幅降低室内空气中甲醛、苯、甲苯、二甲苯、TVOC等有害气体的浓度，确保治理后室内空气无明显异味。</w:t>
      </w:r>
    </w:p>
    <w:p w14:paraId="2BE110C2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4.2服务标准：服务地址区域内的空气质量应符合《民用建筑工程室内环境污染控制标准》（GB50325-2020）以及《室内空气质量标准》（GB/T18883-2002）中相关规定或其他国家、行业认可的标准。</w:t>
      </w:r>
    </w:p>
    <w:p w14:paraId="3939D9CA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5、验收合格：</w:t>
      </w:r>
    </w:p>
    <w:p w14:paraId="4B859082">
      <w:pPr>
        <w:spacing w:before="6" w:line="24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治理任务结束后，乙方需聘请具有CMA相应检测资质的第三方检测机构对空气治理结果进行检测，要求检测试点的数量不得低于国家相关规范中的要求，服务地址区域内的空气质量应符合本合同所约定的服务标准，并出具合格的带有CMA标识的空气质量检测报告。如空气质量检测报告显示空气质量未达到《民用建筑工程室内环境污染控制标准》（GB50325-2020）以及《室内空气质量标准》（GB/T18883-2002）中相关规定，乙方应当再次对服务地址区域内进行空气治理，直至空气质量达标为止。</w:t>
      </w:r>
    </w:p>
    <w:sectPr>
      <w:footerReference r:id="rId5" w:type="default"/>
      <w:pgSz w:w="11910" w:h="16840"/>
      <w:pgMar w:top="640" w:right="1600" w:bottom="1260" w:left="1680" w:header="0" w:footer="10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9E05F">
    <w:pPr>
      <w:spacing w:before="0" w:after="0"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293.4pt;margin-top:776.95pt;height:11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15DC4AA"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412DC"/>
    <w:multiLevelType w:val="multilevel"/>
    <w:tmpl w:val="5AF412DC"/>
    <w:lvl w:ilvl="0" w:tentative="0">
      <w:start w:val="1"/>
      <w:numFmt w:val="decimal"/>
      <w:suff w:val="nothing"/>
      <w:lvlText w:val="%1"/>
      <w:lvlJc w:val="left"/>
      <w:pPr>
        <w:ind w:left="92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3C85457"/>
    <w:rsid w:val="16C27ECA"/>
    <w:rsid w:val="1EE313A8"/>
    <w:rsid w:val="313F1866"/>
    <w:rsid w:val="37DA2160"/>
    <w:rsid w:val="424D0E09"/>
    <w:rsid w:val="5A117165"/>
    <w:rsid w:val="5C162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20"/>
      <w:outlineLvl w:val="1"/>
    </w:pPr>
    <w:rPr>
      <w:rFonts w:ascii="仿宋" w:hAnsi="仿宋" w:eastAsia="仿宋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0"/>
      <w:ind w:left="120"/>
    </w:pPr>
    <w:rPr>
      <w:rFonts w:ascii="仿宋" w:hAnsi="仿宋" w:eastAsia="仿宋"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1171</Words>
  <Characters>1337</Characters>
  <TotalTime>8</TotalTime>
  <ScaleCrop>false</ScaleCrop>
  <LinksUpToDate>false</LinksUpToDate>
  <CharactersWithSpaces>1351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2024-12-31T17:03:00Z</dcterms:created>
  <dc:creator>dell</dc:creator>
  <cp:lastModifiedBy>Administrator</cp:lastModifiedBy>
  <dcterms:modified xsi:type="dcterms:W3CDTF">2025-08-25T00:00:54Z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2024-12-31T00:00:00Z</vt:filetime>
  </property>
  <property fmtid="{D5CDD505-2E9C-101B-9397-08002B2CF9AE}" pid="4" name="KSOTemplateDocerSaveRecord">
    <vt:lpwstr>eyJoZGlkIjoiMDIyNTBhOGRlOGQ5Y2YxMGQwZjlhNmVmYWUwNGQ2M2UifQ==</vt:lpwstr>
  </property>
  <property fmtid="{D5CDD505-2E9C-101B-9397-08002B2CF9AE}" pid="5" name="KSOProductBuildVer">
    <vt:lpwstr>2052-12.1.0.22215</vt:lpwstr>
  </property>
  <property fmtid="{D5CDD505-2E9C-101B-9397-08002B2CF9AE}" pid="6" name="ICV">
    <vt:lpwstr>4E00018E54A54EF8A89E281F8542BF14_12</vt:lpwstr>
  </property>
</Properties>
</file>